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9"/>
        <w:tblW w:w="0" w:type="auto"/>
        <w:tblLook w:val="04A0" w:firstRow="1" w:lastRow="0" w:firstColumn="1" w:lastColumn="0" w:noHBand="0" w:noVBand="1"/>
      </w:tblPr>
      <w:tblGrid>
        <w:gridCol w:w="3324"/>
        <w:gridCol w:w="3134"/>
        <w:gridCol w:w="2887"/>
      </w:tblGrid>
      <w:tr>
        <w:trPr/>
        <w:tc>
          <w:tcPr>
            <w:tcW w:w="3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Старая редакция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редакция</w:t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Примечания</w:t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pStyle w:val="69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Положение «О системе мер дисциплинарного возде</w:t>
            </w:r>
            <w:r>
              <w:rPr>
                <w:rFonts w:ascii="Times New Roman" w:hAnsi="Times New Roman" w:cs="Times New Roman"/>
                <w:b/>
              </w:rPr>
              <w:t xml:space="preserve">йствия, применяемых СРО АСО ПОСО</w:t>
            </w:r>
            <w:r>
              <w:rPr>
                <w:rFonts w:ascii="Times New Roman" w:hAnsi="Times New Roman" w:cs="Times New Roman"/>
                <w:b/>
              </w:rPr>
              <w:t xml:space="preserve"> к своим членам»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2.5.2 «</w:t>
            </w:r>
            <w:r>
              <w:rPr>
                <w:rFonts w:ascii="Times New Roman" w:hAnsi="Times New Roman" w:cs="Times New Roman"/>
              </w:rPr>
              <w:t xml:space="preserve">подлежит применению Ассоциацией: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не устранения членом Ассоциации в</w:t>
            </w:r>
            <w:r>
              <w:rPr>
                <w:rFonts w:ascii="Times New Roman" w:hAnsi="Times New Roman" w:cs="Times New Roman"/>
              </w:rPr>
              <w:t xml:space="preserve"> установленные в предписании/предупреждении сроки нарушений, выявленных при исполнении им обязательств по договорам строительного подряда, по договорам подряда на осуществление сноса, заключаемым с использованием конкурентных способов заключения договоров;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неисполнения членом Ассоциации в 5-дневный срок вынесенного предупреждения о превышении уровня ответственности по обязательствам и требования о необходимости увеличения размера внесенного им взноса в компенсационный фонд обеспечени</w:t>
            </w:r>
            <w:r>
              <w:rPr>
                <w:rFonts w:ascii="Times New Roman" w:hAnsi="Times New Roman" w:cs="Times New Roman"/>
              </w:rPr>
              <w:t xml:space="preserve">я договорных обязательств до уровня ответственности, соответствующего совокупному размеру обязательств по договорам строительного подряда, договорам подряда на осуществление сноса, заключенным им с использованием конкурентных способов заключения договоров;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наличии выданного исполнительного листа в отношении члена Ассоциации по судебному решению о взыскании пени, штрафов в следствие ненадлежащего исполнения обязательств по договорам строительного подряда, по договорам подряда на осуществление сноса, </w:t>
            </w:r>
            <w:r>
              <w:rPr>
                <w:rFonts w:ascii="Times New Roman" w:hAnsi="Times New Roman" w:cs="Times New Roman"/>
              </w:rPr>
              <w:t xml:space="preserve">заключаемым с использованием конкурентных способов заключения договоров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tabs>
                <w:tab w:val="num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.5.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подлежит применению Ассоциацией:</w:t>
            </w:r>
            <w:r/>
          </w:p>
          <w:p>
            <w:pPr>
              <w:tabs>
                <w:tab w:val="num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не устранения членом Ассоциации в</w:t>
            </w:r>
            <w:r>
              <w:rPr>
                <w:rFonts w:ascii="Times New Roman" w:hAnsi="Times New Roman" w:cs="Times New Roman"/>
              </w:rPr>
              <w:t xml:space="preserve"> установленные в предписании/предупреждении сроки нарушений, выявленных при исполнении им обязательств по договорам строительного подряда, по договорам подряда на осуществление сноса, заключаемым с использованием конкурентных способов заключения договоров;</w:t>
            </w:r>
            <w:r/>
          </w:p>
          <w:p>
            <w:pPr>
              <w:tabs>
                <w:tab w:val="num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неисполнения членом Ассоциации в 5-дневный срок вынесенного предупреждения о превышении уровня ответственности по обязательствам и требования о необходимости увеличения размера внесенного им взноса в компенсационный фонд обеспечени</w:t>
            </w:r>
            <w:r>
              <w:rPr>
                <w:rFonts w:ascii="Times New Roman" w:hAnsi="Times New Roman" w:cs="Times New Roman"/>
              </w:rPr>
              <w:t xml:space="preserve">я договорных обязательств до уровня ответственности, соответствующего совокупному размеру обязательств по договорам строительного подряда, договорам подряда на осуществление сноса, заключенным им с использованием конкурентных способов заключения договоров;</w:t>
            </w:r>
            <w:r/>
          </w:p>
          <w:p>
            <w:pPr>
              <w:tabs>
                <w:tab w:val="num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наличии выданного исполнительного листа в отношении члена Ассоциации по судебному решению о </w:t>
            </w:r>
            <w:r>
              <w:rPr>
                <w:rFonts w:ascii="Times New Roman" w:hAnsi="Times New Roman" w:cs="Times New Roman"/>
              </w:rPr>
              <w:t xml:space="preserve">возмещении реального ущерба вследствие неисполнения или ненадлежащего исполнения членом Ассоциации обязательств по договору строительного подряда, договору подряда на осуществление сноса, заключенным с использованием конкурентных способов</w:t>
            </w:r>
            <w:r>
              <w:rPr>
                <w:rFonts w:ascii="Times New Roman" w:hAnsi="Times New Roman" w:cs="Times New Roman"/>
              </w:rPr>
              <w:t xml:space="preserve"> заключения договоров, либо вследствие неисполнения или ненадлежащего исполнения членом Ассоциации функций технического заказчика при строительстве, реконструкции, капитальном ремонте, сносе объектов капитального строительства по таким договорам, заключенн</w:t>
            </w:r>
            <w:r>
              <w:rPr>
                <w:rFonts w:ascii="Times New Roman" w:hAnsi="Times New Roman" w:cs="Times New Roman"/>
              </w:rPr>
              <w:t xml:space="preserve">ым от имени застройщика, и/или взыскании пени, штрафов вследствие ненадлежащего исполнения обязательств по договорам строительного подряда, по договорам подряда на осуществление сноса, заключаемым с использованием конкурентных способов заключения договоров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ind w:firstLine="38"/>
              <w:tabs>
                <w:tab w:val="num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подп.3 внесены корректировки в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вязи со сложившейся судебной практикой</w:t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2.8.3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может применяться Ассоциацией в случае однократного нарушения обязательных требований, следствием которых стало возмещение вреда из компенсационного (-ых) фонда (-</w:t>
            </w:r>
            <w:r>
              <w:rPr>
                <w:rFonts w:ascii="Times New Roman" w:hAnsi="Times New Roman" w:cs="Times New Roman"/>
              </w:rPr>
              <w:t xml:space="preserve">ов</w:t>
            </w:r>
            <w:r>
              <w:rPr>
                <w:rFonts w:ascii="Times New Roman" w:hAnsi="Times New Roman" w:cs="Times New Roman"/>
              </w:rPr>
              <w:t xml:space="preserve">) Ассоциации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2.8.3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может применяться Ассоциацией в случае однократного нарушения членом Ассоциации обязательных требований, следствием которых является наступление одного из ниже перечисленных оснований:</w:t>
            </w:r>
            <w:r/>
          </w:p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получение Ассоциацией претензии/иска с требованием о возмещении вреда/ущерба/пени/штрафов за счет средств компенсационного (-ых) фонда (-</w:t>
            </w:r>
            <w:r>
              <w:rPr>
                <w:rFonts w:ascii="Times New Roman" w:hAnsi="Times New Roman" w:cs="Times New Roman"/>
              </w:rPr>
              <w:t xml:space="preserve">ов</w:t>
            </w:r>
            <w:r>
              <w:rPr>
                <w:rFonts w:ascii="Times New Roman" w:hAnsi="Times New Roman" w:cs="Times New Roman"/>
              </w:rPr>
              <w:t xml:space="preserve">) Ассоциации, в удовлетворении которых член, по чьей вине наступило причинение вреда, </w:t>
            </w:r>
            <w:r>
              <w:rPr>
                <w:rFonts w:ascii="Times New Roman" w:hAnsi="Times New Roman" w:cs="Times New Roman"/>
              </w:rPr>
              <w:t xml:space="preserve">отказывается принимать участие;</w:t>
            </w:r>
            <w:r/>
          </w:p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произведенное возмещение вреда из компенсационного (-ых) фонда (-</w:t>
            </w:r>
            <w:r>
              <w:rPr>
                <w:rFonts w:ascii="Times New Roman" w:hAnsi="Times New Roman" w:cs="Times New Roman"/>
              </w:rPr>
              <w:t xml:space="preserve">ов</w:t>
            </w:r>
            <w:r>
              <w:rPr>
                <w:rFonts w:ascii="Times New Roman" w:hAnsi="Times New Roman" w:cs="Times New Roman"/>
              </w:rPr>
              <w:t xml:space="preserve">) Ассоциации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Расширены основания при наличии которых Ассоциация может применять  такую меру дисциплинарного воздействия как </w:t>
            </w:r>
            <w:r>
              <w:rPr>
                <w:rFonts w:ascii="Times New Roman" w:hAnsi="Times New Roman" w:cs="Times New Roman"/>
              </w:rPr>
              <w:t xml:space="preserve">рекомендация об исключении лица из членов Ассоциации</w:t>
            </w:r>
            <w:r>
              <w:rPr>
                <w:rFonts w:ascii="Times New Roman" w:hAnsi="Times New Roman" w:cs="Times New Roman"/>
              </w:rPr>
              <w:t xml:space="preserve">, в связи с участившимися случаями ненадлежащего исполнения договорных обязательств, которые приводят к возможным выплатам из средств компенсационных фондов.</w:t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отсутствовал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2.11 «</w:t>
            </w:r>
            <w:r>
              <w:rPr>
                <w:rFonts w:ascii="Times New Roman" w:hAnsi="Times New Roman" w:cs="Times New Roman"/>
              </w:rPr>
              <w:t xml:space="preserve">Наложение на члена Ассоциации штрафа за сокрытие, искажение </w:t>
            </w:r>
            <w:r>
              <w:rPr>
                <w:rFonts w:ascii="Times New Roman" w:hAnsi="Times New Roman" w:cs="Times New Roman"/>
              </w:rPr>
              <w:t xml:space="preserve">или несвоевременное сообщение полной и/или достоверной информации о наличии заключенных договоров строительного подряда, договоров подряда на осуществление сноса, заключаемым с использованием конкурентных способов заключения договоров (далее договоры ОДО).</w:t>
            </w:r>
            <w:r/>
          </w:p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2.11.1. Штраф за сокрытие, искажение или несвоевременное сообщение полной и/или достоверной информации о наличии заключенных договоров ОДО составляет 100 000 (сто тысяч) рублей.</w:t>
            </w:r>
            <w:r/>
          </w:p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2.11.2. Штраф, определенный в п.2.11, уплаченный членами Ассоциации, имеющими только присвоенный уровень ответственности по возмещению вреда, зачисляется в счет увеличения компенсационного фонда возмещения вреда Ассоциации.</w:t>
            </w:r>
            <w:r/>
          </w:p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2.11.3</w:t>
            </w:r>
            <w:r>
              <w:rPr>
                <w:rFonts w:ascii="Times New Roman" w:hAnsi="Times New Roman" w:cs="Times New Roman"/>
              </w:rPr>
              <w:t xml:space="preserve">. Штраф, определенный в п.2.11, уплаченный членами Ассоциации, имеющими право осуществлять строительство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</w:t>
            </w:r>
            <w:r>
              <w:rPr>
                <w:rFonts w:ascii="Times New Roman" w:hAnsi="Times New Roman" w:cs="Times New Roman"/>
              </w:rPr>
              <w:t xml:space="preserve">зачисляется в счет увеличения компенсационного фонда обеспечения договорных обязательств Ассоциации.</w:t>
            </w:r>
            <w:r/>
          </w:p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2.11.4. Член Ассоциации, допустивший сокрытие, искажение или несвоевременн</w:t>
            </w:r>
            <w:r>
              <w:rPr>
                <w:rFonts w:ascii="Times New Roman" w:hAnsi="Times New Roman" w:cs="Times New Roman"/>
              </w:rPr>
              <w:t xml:space="preserve">ое сообщение полной и/или достоверной информации о наличии заключенных договоров ОДО, уплачивает штраф, определенный в п.2.11, в течение 5 рабочих дней с даты принятия решения о привлечении члена Ассоциации к мере дисциплинарного воздействия в виде штрафа.</w:t>
            </w:r>
            <w:r/>
          </w:p>
          <w:p>
            <w:pPr>
              <w:tabs>
                <w:tab w:val="left" w:pos="28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2.11.5. В случае неуплаты членом Ассоциации штрафа в срок, установленный в п.2.11.4 настоящего Положения, Ассоциация вправе обратиться за взысканием такого штрафа в судебном порядке.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добавлен для предотвращения нарушений со стороны членов Ассоциации в виде сокрытия, искажения или несвоевременного</w:t>
            </w:r>
            <w:r>
              <w:rPr>
                <w:rFonts w:ascii="Times New Roman" w:hAnsi="Times New Roman" w:cs="Times New Roman"/>
              </w:rPr>
              <w:t xml:space="preserve"> сообщени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 полной и/или достоверной информации о наличии заключенных договоров</w:t>
            </w:r>
            <w:r>
              <w:rPr>
                <w:rFonts w:ascii="Times New Roman" w:hAnsi="Times New Roman" w:cs="Times New Roman"/>
              </w:rPr>
              <w:t xml:space="preserve"> ОДО</w:t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 xml:space="preserve">Положение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компенсационном фонде возмещения вреда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Саморегулируемой организации </w:t>
            </w:r>
            <w:r>
              <w:rPr>
                <w:rFonts w:ascii="Times New Roman" w:hAnsi="Times New Roman" w:cs="Times New Roman"/>
                <w:b/>
              </w:rPr>
              <w:t xml:space="preserve">Ассоциации </w:t>
            </w:r>
            <w:r>
              <w:rPr>
                <w:rFonts w:ascii="Times New Roman" w:hAnsi="Times New Roman" w:cs="Times New Roman"/>
                <w:b/>
              </w:rPr>
              <w:t xml:space="preserve">строительных организаций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Поддержки организаций строительной отрасли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отсутствовал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2.1 «</w:t>
            </w:r>
            <w:r>
              <w:rPr>
                <w:rFonts w:ascii="Times New Roman" w:hAnsi="Times New Roman" w:cs="Times New Roman"/>
              </w:rPr>
              <w:t xml:space="preserve">Установление размера взносов в компенсационный фонд возмещения вреда, порядок его формирования, решение о </w:t>
            </w:r>
            <w:r>
              <w:rPr>
                <w:rFonts w:ascii="Times New Roman" w:hAnsi="Times New Roman" w:cs="Times New Roman"/>
              </w:rPr>
              <w:t xml:space="preserve">выборе кредитной организации для размещения средств компенсационного фонда возмещения вреда, установление правил размещения и инвестирования средств компенсационного фонда возмещения вреда, принятие решения об инвестировании средств компенсационного фонда </w:t>
            </w:r>
            <w:r>
              <w:rPr>
                <w:rFonts w:ascii="Times New Roman" w:hAnsi="Times New Roman" w:cs="Times New Roman"/>
              </w:rPr>
              <w:t xml:space="preserve">возмещения вреда, принятие решения об использовании ошибочно перечисленных денежных средств на специальный счет компенсационного фонда возмещения вреда и/или денежных средств зачисленных на специальн</w:t>
            </w:r>
            <w:r>
              <w:rPr>
                <w:rFonts w:ascii="Times New Roman" w:hAnsi="Times New Roman" w:cs="Times New Roman"/>
              </w:rPr>
              <w:t xml:space="preserve">ый счет компенсационного фонда возмещения вреда ликвидированными и/или исключенными из единого государственного реестра юридическими лицами и индивидуальными предпринимателями (кандидатами в члены саморегулируемой организации) так и не получившими членство</w:t>
            </w:r>
            <w:r>
              <w:rPr>
                <w:rFonts w:ascii="Times New Roman" w:hAnsi="Times New Roman" w:cs="Times New Roman"/>
              </w:rPr>
              <w:t xml:space="preserve"> в Ассоциации на пополнение компенсационного фонда возмещения вреда, определение возможных способов размещения средств компенсационного фонда возмещения вреда в кредитных организациях относится к исключительной компетенции общего собрания членов Ассоциации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Приведено в соответствие с </w:t>
            </w:r>
            <w:r>
              <w:rPr>
                <w:rFonts w:ascii="Times New Roman" w:hAnsi="Times New Roman" w:cs="Times New Roman"/>
              </w:rPr>
              <w:t xml:space="preserve">п. 3</w:t>
            </w:r>
            <w:r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 xml:space="preserve">. 16 315 ФЗ «О саморегулируемых организациях»</w:t>
            </w:r>
            <w:r>
              <w:rPr>
                <w:rFonts w:ascii="Times New Roman" w:hAnsi="Times New Roman" w:cs="Times New Roman"/>
              </w:rPr>
              <w:t xml:space="preserve"> и Уставом СРО</w:t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отсутствовал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2.4 «</w:t>
            </w:r>
            <w:r>
              <w:rPr>
                <w:rFonts w:ascii="Times New Roman" w:hAnsi="Times New Roman" w:cs="Times New Roman"/>
              </w:rPr>
              <w:t xml:space="preserve">Увеличение размера компенсационного фонда возмещения вреда также происходит за счет ошибочно перечисленных денежных средств на специальный счет компенсационного фонда </w:t>
            </w:r>
            <w:r>
              <w:rPr>
                <w:rFonts w:ascii="Times New Roman" w:hAnsi="Times New Roman" w:cs="Times New Roman"/>
              </w:rPr>
              <w:t xml:space="preserve">возмещения вреда в случае невозможности осуществления возврата лицу их перечислившему, а также за счет денежных средств зачисленных на специальный счет компенсационного фонда возмещения вреда кандидатами в члены саморегулируемой организации не получившими </w:t>
            </w:r>
            <w:r>
              <w:rPr>
                <w:rFonts w:ascii="Times New Roman" w:hAnsi="Times New Roman" w:cs="Times New Roman"/>
              </w:rPr>
              <w:t xml:space="preserve">членство в Ассоциации и ликвидированными и/или исключенными из единого государственного реестра юридических лиц и индивидуальных предпринимателей.</w:t>
            </w:r>
            <w:r/>
          </w:p>
          <w:p>
            <w:pPr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возврата ошибочно перечисленных денежных средств в компенсационный фонд возмещения вреда признаётся невозможным в следующих случаях:</w:t>
            </w:r>
            <w:r/>
          </w:p>
          <w:p>
            <w:pPr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отсутствие заявления о возврате ошибочно перечисленных денежных средств на специальный счет компенсационного фонда во</w:t>
            </w:r>
            <w:r>
              <w:rPr>
                <w:rFonts w:ascii="Times New Roman" w:hAnsi="Times New Roman" w:cs="Times New Roman"/>
              </w:rPr>
              <w:t xml:space="preserve">змещения вреда от лица, осуществившего данный платеж, в соответствии с пунктом 5.2.2. настоящего Положения, в течении 3 (Трех) лет с момента зачисления денежных средств в компенсационный фонд возмещения вреда (в связи с истечением срока исковой давности); </w:t>
            </w:r>
            <w:r/>
          </w:p>
          <w:p>
            <w:pPr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ликвидация и/или исключение из единого государственного реестра юридического лица или индивидуального предпринимателя, осуществившего ошибочный платеж в компенсационный фонд возмещения вреда. </w:t>
            </w:r>
            <w:r/>
          </w:p>
          <w:p>
            <w:pPr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невозможности осуществить возврат ошибочного платежа, поступившего на специальный счет компенсационного фонд возмещения вреда, а также в случае если взнос в компенсационный фонд возмещения вреда был внесен кандидатом в члены саморегулируемой </w:t>
            </w:r>
            <w:r>
              <w:rPr>
                <w:rFonts w:ascii="Times New Roman" w:hAnsi="Times New Roman" w:cs="Times New Roman"/>
              </w:rPr>
              <w:t xml:space="preserve">организации не получившим членство в Ассоциации и ликвидированным и/или исключенным из единого государственного реестра юридических лиц и индивидуальных предпринимателей в последствии Общее собрание члено</w:t>
            </w:r>
            <w:r>
              <w:rPr>
                <w:rFonts w:ascii="Times New Roman" w:hAnsi="Times New Roman" w:cs="Times New Roman"/>
              </w:rPr>
              <w:t xml:space="preserve">в Ассоциации определяет возможность использования указанных денежных средств на пополнение компенсационного фонда возмещения вреда путем принятия решения на общем собрании членов Ассоциации. Вопрос об использовании указанных денежных средств на пополнение </w:t>
            </w:r>
            <w:r>
              <w:rPr>
                <w:rFonts w:ascii="Times New Roman" w:hAnsi="Times New Roman" w:cs="Times New Roman"/>
              </w:rPr>
              <w:t xml:space="preserve">компенсационного фонда возмещения вреда включается в повестку дня общего собрания членов Ассоциации по предложению Председателя Общего собрания. Решение по данному вопросу принимается путем голосования большинством голосов от общего числа членов Ассоциации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 с целью возможности уве</w:t>
            </w:r>
            <w:r>
              <w:rPr>
                <w:rFonts w:ascii="Times New Roman" w:hAnsi="Times New Roman" w:cs="Times New Roman"/>
              </w:rPr>
              <w:t xml:space="preserve">личения</w:t>
            </w:r>
            <w:r>
              <w:rPr>
                <w:rFonts w:ascii="Times New Roman" w:hAnsi="Times New Roman" w:cs="Times New Roman"/>
              </w:rPr>
              <w:t xml:space="preserve"> средст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компенсационного фонда</w:t>
            </w:r>
            <w:r>
              <w:rPr>
                <w:rFonts w:ascii="Times New Roman" w:hAnsi="Times New Roman" w:cs="Times New Roman"/>
              </w:rPr>
              <w:t xml:space="preserve"> за сет  ошибо</w:t>
            </w:r>
            <w:r>
              <w:rPr>
                <w:rFonts w:ascii="Times New Roman" w:hAnsi="Times New Roman" w:cs="Times New Roman"/>
              </w:rPr>
              <w:t xml:space="preserve">чно</w:t>
            </w:r>
            <w:r>
              <w:rPr>
                <w:rFonts w:ascii="Times New Roman" w:hAnsi="Times New Roman" w:cs="Times New Roman"/>
              </w:rPr>
              <w:t xml:space="preserve"> пере</w:t>
            </w:r>
            <w:r>
              <w:rPr>
                <w:rFonts w:ascii="Times New Roman" w:hAnsi="Times New Roman" w:cs="Times New Roman"/>
              </w:rPr>
              <w:t xml:space="preserve">численных</w:t>
            </w:r>
            <w:r>
              <w:rPr>
                <w:rFonts w:ascii="Times New Roman" w:hAnsi="Times New Roman" w:cs="Times New Roman"/>
              </w:rPr>
              <w:t xml:space="preserve"> ден</w:t>
            </w:r>
            <w:r>
              <w:rPr>
                <w:rFonts w:ascii="Times New Roman" w:hAnsi="Times New Roman" w:cs="Times New Roman"/>
              </w:rPr>
              <w:t xml:space="preserve">ежных</w:t>
            </w:r>
            <w:r>
              <w:rPr>
                <w:rFonts w:ascii="Times New Roman" w:hAnsi="Times New Roman" w:cs="Times New Roman"/>
              </w:rPr>
              <w:t xml:space="preserve"> ср</w:t>
            </w:r>
            <w:r>
              <w:rPr>
                <w:rFonts w:ascii="Times New Roman" w:hAnsi="Times New Roman" w:cs="Times New Roman"/>
              </w:rPr>
              <w:t xml:space="preserve">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ind w:left="360"/>
              <w:jc w:val="center"/>
              <w:rPr>
                <w:rStyle w:val="703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Положение о </w:t>
            </w:r>
            <w:r>
              <w:rPr>
                <w:rFonts w:ascii="Times New Roman" w:hAnsi="Times New Roman" w:cs="Times New Roman"/>
                <w:b/>
              </w:rPr>
              <w:t xml:space="preserve">компенсационном фонде обеспечения договорных обязательств </w:t>
            </w:r>
            <w:r>
              <w:rPr>
                <w:rFonts w:ascii="Times New Roman" w:hAnsi="Times New Roman" w:cs="Times New Roman"/>
                <w:b/>
              </w:rPr>
              <w:t xml:space="preserve">Саморегулируемой организации Ассоциации строител</w:t>
            </w:r>
            <w:r>
              <w:rPr>
                <w:rFonts w:ascii="Times New Roman" w:hAnsi="Times New Roman" w:cs="Times New Roman"/>
                <w:b/>
              </w:rPr>
              <w:t xml:space="preserve">ьных организаций </w:t>
            </w: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Поддержки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</w:rPr>
              <w:t xml:space="preserve"> организаций строительной отрасли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/>
          </w:p>
          <w:p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pStyle w:val="6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Ранее отсутствовал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jc w:val="both"/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2.1. «</w:t>
            </w:r>
            <w:r>
              <w:rPr>
                <w:rFonts w:ascii="Times New Roman" w:hAnsi="Times New Roman" w:cs="Times New Roman"/>
              </w:rPr>
              <w:t xml:space="preserve">Установление размера взносов в компенсационный фонд обеспечения договорных обязательств, порядок его формирования, решение о выборе кредитной </w:t>
            </w:r>
            <w:r>
              <w:rPr>
                <w:rFonts w:ascii="Times New Roman" w:hAnsi="Times New Roman" w:cs="Times New Roman"/>
              </w:rPr>
              <w:t xml:space="preserve">организации для размещения средств компенсационного фонда о</w:t>
            </w:r>
            <w:r>
              <w:rPr>
                <w:rFonts w:ascii="Times New Roman" w:hAnsi="Times New Roman" w:cs="Times New Roman"/>
              </w:rPr>
              <w:t xml:space="preserve">беспечения договорных обязательств, установление правил размещения и инвестирования средств компенсационного фонда обеспечения договорных обязательств, принятие решения об инвестировании средств компенсационного фонда обеспечения договорных обязательств, п</w:t>
            </w:r>
            <w:r>
              <w:rPr>
                <w:rFonts w:ascii="Times New Roman" w:hAnsi="Times New Roman" w:cs="Times New Roman"/>
              </w:rPr>
              <w:t xml:space="preserve">ринятие решения об использовании ошибочно перечисленных денежных средств на специальный счет компенсационного фонда обеспечения договорных обязательств и/или денежных средств зачисленных на специальный счет компенсационного фонда обеспечения договорных обя</w:t>
            </w:r>
            <w:r>
              <w:rPr>
                <w:rFonts w:ascii="Times New Roman" w:hAnsi="Times New Roman" w:cs="Times New Roman"/>
              </w:rPr>
              <w:t xml:space="preserve">зательств ликвидированными и/или исключенными из единого государственного реестра юридическими лицами и индивидуальными предпринимателями (кандидатами в члены саморегулируемой организации) так и не получившими членство в Ассоциации на пополнение компенсаци</w:t>
            </w:r>
            <w:r>
              <w:rPr>
                <w:rFonts w:ascii="Times New Roman" w:hAnsi="Times New Roman" w:cs="Times New Roman"/>
              </w:rPr>
              <w:t xml:space="preserve">онного фонда обеспечения договорных обязательств, определение возможных способов размещения средств компенсационного фонда обеспечения договорных обязательств в кредитных организациях относится к исключительной компетенции общего собрания членов Ассоциации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Приведено в соответствие с </w:t>
            </w:r>
            <w:r>
              <w:rPr>
                <w:rFonts w:ascii="Times New Roman" w:hAnsi="Times New Roman" w:cs="Times New Roman"/>
              </w:rPr>
              <w:t xml:space="preserve">п. 3</w:t>
            </w:r>
            <w:r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 xml:space="preserve">. 16 315 ФЗ «О саморегулируемых организациях» и Уставом СРО</w:t>
            </w:r>
            <w:r/>
          </w:p>
        </w:tc>
      </w:tr>
      <w:tr>
        <w:trPr/>
        <w:tc>
          <w:tcPr>
            <w:tcW w:w="3324" w:type="dxa"/>
            <w:textDirection w:val="lrTb"/>
            <w:noWrap w:val="false"/>
          </w:tcPr>
          <w:p>
            <w:pPr>
              <w:pStyle w:val="6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отсутствовал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pPr>
              <w:jc w:val="both"/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2.4 «</w:t>
            </w:r>
            <w:r>
              <w:rPr>
                <w:rFonts w:ascii="Times New Roman" w:hAnsi="Times New Roman" w:cs="Times New Roman"/>
              </w:rPr>
              <w:t xml:space="preserve">Увеличение размера компенсационного фонда обеспечения договорных обязательств также происходит за счет ошибочно пе</w:t>
            </w:r>
            <w:r>
              <w:rPr>
                <w:rFonts w:ascii="Times New Roman" w:hAnsi="Times New Roman" w:cs="Times New Roman"/>
              </w:rPr>
              <w:t xml:space="preserve">речисленных денежных средств на специальный счет компенсационного фонда обеспечения договорных обязательств в случае невозможности осуществления возврата лицу их перечислившему, а также за счет денежных средств зачисленных на специальный счет компенсационн</w:t>
            </w:r>
            <w:r>
              <w:rPr>
                <w:rFonts w:ascii="Times New Roman" w:hAnsi="Times New Roman" w:cs="Times New Roman"/>
              </w:rPr>
              <w:t xml:space="preserve">ого фонда обеспечения договорных обязательств кандидатами в члены саморегулируемой организации не получившими членство в Ассоциации и ликвидированными и/или исключенными из единого государственного реестра юридических лиц и индивидуальных предпринимателей.</w:t>
            </w:r>
            <w:r/>
          </w:p>
          <w:p>
            <w:pPr>
              <w:jc w:val="both"/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возврата ошибочно перечисленных денежных средств в компенсационный фонд обеспечения договорных обязательств признаётся невозможным в следующих случаях:</w:t>
            </w:r>
            <w:r/>
          </w:p>
          <w:p>
            <w:pPr>
              <w:jc w:val="both"/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отсутствие заявления о возврате ошибочно перечисленных денежных средств на специальный счет ком</w:t>
            </w:r>
            <w:r>
              <w:rPr>
                <w:rFonts w:ascii="Times New Roman" w:hAnsi="Times New Roman" w:cs="Times New Roman"/>
              </w:rPr>
              <w:t xml:space="preserve">пенсационного фонда обеспечения договорных обязательств от лица, осуществившего данный платеж, в соответствии с пунктом 4.2.2. настоящего Положения, в течении 3 (Трех) лет с момента зачисления денежных средств в компенсационный фонд обеспечения договорных </w:t>
            </w:r>
            <w:r>
              <w:rPr>
                <w:rFonts w:ascii="Times New Roman" w:hAnsi="Times New Roman" w:cs="Times New Roman"/>
              </w:rPr>
              <w:t xml:space="preserve">обязательств (в связи с истечением срока исковой давности);</w:t>
            </w:r>
            <w:r/>
          </w:p>
          <w:p>
            <w:pPr>
              <w:jc w:val="both"/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ликвидация и/или исключение из единого государственного реестра юридического лица или индивидуального предпринимателя, осуществившего ошибочный платеж в компенсационный фонд обеспечения договорных обязательств.</w:t>
            </w:r>
            <w:r/>
          </w:p>
          <w:p>
            <w:pPr>
              <w:jc w:val="both"/>
              <w:tabs>
                <w:tab w:val="center" w:pos="145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невозможности осуществить возврат ошибочного платежа, поступивш</w:t>
            </w:r>
            <w:r>
              <w:rPr>
                <w:rFonts w:ascii="Times New Roman" w:hAnsi="Times New Roman" w:cs="Times New Roman"/>
              </w:rPr>
              <w:t xml:space="preserve">его на специальный счет компенсационного фонд обеспечения договорных обязательств, а также в случае если взнос в компенсационный фонд обеспечения договорных обязательств был внесен кандидатом в члены саморегулируемой организации не получившим членство в Ас</w:t>
            </w:r>
            <w:r>
              <w:rPr>
                <w:rFonts w:ascii="Times New Roman" w:hAnsi="Times New Roman" w:cs="Times New Roman"/>
              </w:rPr>
              <w:t xml:space="preserve">социации и ликвидированным и/или исключенным из единого государственного реестра юридических лиц и индивидуальных предпринимателей в последствии Общее собрание членов Ассоциации определяет возможность использования указанных денежных средств на пополнение </w:t>
            </w:r>
            <w:r>
              <w:rPr>
                <w:rFonts w:ascii="Times New Roman" w:hAnsi="Times New Roman" w:cs="Times New Roman"/>
              </w:rPr>
              <w:t xml:space="preserve">компенсационного фонда обеспечения договорных обязательств путем принятия решения на общем собрании членов Ассоциации. Вопрос об использовании указанных денежных средств на пополнение компенсационного фонда обеспечения договорных обязательств включается в </w:t>
            </w:r>
            <w:r>
              <w:rPr>
                <w:rFonts w:ascii="Times New Roman" w:hAnsi="Times New Roman" w:cs="Times New Roman"/>
              </w:rPr>
              <w:t xml:space="preserve">повестку дня очередного общего собрания членов Ассоциации по предложению Председателя Общего собрания. Решение по данному вопросу принимается путем голосования большинством голосов от общего числа членов Ассоциации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 с целью возможности увеличения средств компенсационного фонда за сет  ошибочно перечисленных денежных средств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  <w:p>
    <w:pPr>
      <w:pStyle w:val="690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267710" cy="810895"/>
              <wp:effectExtent l="0" t="0" r="8890" b="8255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267710" cy="8108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57.3pt;height:63.8pt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690"/>
    </w:pPr>
    <w:r/>
    <w:r/>
  </w:p>
  <w:p>
    <w:pPr>
      <w:pStyle w:val="6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styleLink w:val="701"/>
    <w:lvl w:ilvl="0">
      <w:start w:val="1"/>
      <w:numFmt w:val="upperRoman"/>
      <w:pStyle w:val="696"/>
      <w:isLgl w:val="false"/>
      <w:suff w:val="tab"/>
      <w:lvlText w:val="%1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8"/>
      </w:rPr>
    </w:lvl>
    <w:lvl w:ilvl="1">
      <w:start w:val="1"/>
      <w:numFmt w:val="none"/>
      <w:lvlRestart w:val="0"/>
      <w:isLgl w:val="false"/>
      <w:suff w:val="tab"/>
      <w:lvlText w:val="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isLgl w:val="false"/>
      <w:suff w:val="tab"/>
      <w:lvlText w:val="Статья %3"/>
      <w:lvlJc w:val="left"/>
      <w:pPr>
        <w:ind w:left="2217" w:hanging="1134"/>
        <w:tabs>
          <w:tab w:val="num" w:pos="2217" w:leader="none"/>
        </w:tabs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697"/>
      <w:isLgl w:val="false"/>
      <w:suff w:val="tab"/>
      <w:lvlText w:val="%3.%4"/>
      <w:lvlJc w:val="left"/>
      <w:pPr>
        <w:ind w:left="2099" w:hanging="397"/>
        <w:tabs>
          <w:tab w:val="num" w:pos="2099" w:leader="none"/>
        </w:tabs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698"/>
      <w:isLgl w:val="false"/>
      <w:suff w:val="tab"/>
      <w:lvlText w:val=""/>
      <w:lvlJc w:val="left"/>
      <w:pPr>
        <w:ind w:left="1134" w:hanging="567"/>
        <w:tabs>
          <w:tab w:val="num" w:pos="1134" w:leader="none"/>
        </w:tabs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699"/>
      <w:isLgl w:val="false"/>
      <w:suff w:val="tab"/>
      <w:lvlText w:val="%6)"/>
      <w:lvlJc w:val="left"/>
      <w:pPr>
        <w:ind w:left="1537" w:hanging="397"/>
        <w:tabs>
          <w:tab w:val="num" w:pos="1537" w:leader="none"/>
        </w:tabs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700"/>
      <w:isLgl w:val="false"/>
      <w:suff w:val="tab"/>
      <w:lvlText w:val=""/>
      <w:lvlJc w:val="left"/>
      <w:pPr>
        <w:ind w:left="1701" w:hanging="397"/>
        <w:tabs>
          <w:tab w:val="num" w:pos="1701" w:leader="none"/>
        </w:tabs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2007" w:hanging="432"/>
        <w:tabs>
          <w:tab w:val="num" w:pos="200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2151" w:hanging="144"/>
        <w:tabs>
          <w:tab w:val="num" w:pos="2151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785" w:hanging="705"/>
      </w:pPr>
      <w:rPr>
        <w:rFonts w:ascii="Times New Roman" w:hAnsi="Times New Roman" w:cs="Times New Roman" w:eastAsiaTheme="minorHAnsi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upperRoman"/>
        <w:pStyle w:val="696"/>
        <w:isLgl w:val="false"/>
        <w:suff w:val="tab"/>
        <w:lvlText w:val="%1"/>
        <w:lvlJc w:val="left"/>
        <w:pPr>
          <w:ind w:left="567" w:hanging="567"/>
          <w:tabs>
            <w:tab w:val="num" w:pos="567" w:leader="none"/>
          </w:tabs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isLgl w:val="false"/>
        <w:suff w:val="tab"/>
        <w:lvlText w:val=""/>
        <w:lvlJc w:val="left"/>
        <w:pPr>
          <w:ind w:left="823" w:hanging="397"/>
          <w:tabs>
            <w:tab w:val="num" w:pos="823" w:leader="none"/>
          </w:tabs>
        </w:pPr>
      </w:lvl>
    </w:lvlOverride>
    <w:lvlOverride w:ilvl="2">
      <w:lvl w:ilvl="2">
        <w:start w:val="1"/>
        <w:numFmt w:val="decimal"/>
        <w:lvlRestart w:val="0"/>
        <w:isLgl w:val="false"/>
        <w:suff w:val="tab"/>
        <w:lvlText w:val="Статья %3"/>
        <w:lvlJc w:val="left"/>
        <w:pPr/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697"/>
        <w:isLgl w:val="false"/>
        <w:suff w:val="tab"/>
        <w:lvlText w:val="%3.%4"/>
        <w:lvlJc w:val="left"/>
        <w:pPr>
          <w:ind w:left="4679" w:hanging="567"/>
          <w:tabs>
            <w:tab w:val="num" w:pos="4679" w:leader="none"/>
          </w:tabs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4">
      <w:lvl w:ilvl="4">
        <w:start w:val="1"/>
        <w:numFmt w:val="none"/>
        <w:pStyle w:val="698"/>
        <w:isLgl w:val="false"/>
        <w:suff w:val="tab"/>
        <w:lvlText w:val=""/>
        <w:lvlJc w:val="left"/>
        <w:pPr>
          <w:ind w:left="567" w:hanging="567"/>
          <w:tabs>
            <w:tab w:val="num" w:pos="567" w:leader="none"/>
          </w:tabs>
        </w:pPr>
      </w:lvl>
    </w:lvlOverride>
    <w:lvlOverride w:ilvl="5">
      <w:lvl w:ilvl="5">
        <w:start w:val="1"/>
        <w:numFmt w:val="decimal"/>
        <w:pStyle w:val="699"/>
        <w:isLgl w:val="false"/>
        <w:suff w:val="tab"/>
        <w:lvlText w:val="%6)"/>
        <w:lvlJc w:val="left"/>
        <w:pPr>
          <w:ind w:left="2127" w:hanging="1134"/>
          <w:tabs>
            <w:tab w:val="num" w:pos="2127" w:leader="none"/>
          </w:tabs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700"/>
        <w:isLgl w:val="false"/>
        <w:suff w:val="tab"/>
        <w:lvlText w:val=""/>
        <w:lvlJc w:val="left"/>
        <w:pPr/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67" w:hanging="567"/>
          <w:tabs>
            <w:tab w:val="num" w:pos="567" w:leader="none"/>
          </w:tabs>
        </w:pPr>
        <w:rPr>
          <w:rFonts w:hint="default"/>
        </w:r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823" w:hanging="397"/>
          <w:tabs>
            <w:tab w:val="num" w:pos="823" w:leader="none"/>
          </w:tabs>
        </w:pPr>
        <w:rPr>
          <w:rFonts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pStyle w:val="696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"/>
        <w:lvlJc w:val="left"/>
        <w:pPr/>
      </w:lvl>
    </w:lvlOverride>
    <w:lvlOverride w:ilvl="2">
      <w:lvl w:ilvl="2">
        <w:start w:val="1"/>
        <w:numFmt w:val="decimal"/>
        <w:isLgl w:val="false"/>
        <w:suff w:val="tab"/>
        <w:lvlText w:val=""/>
        <w:lvlJc w:val="left"/>
        <w:pPr/>
      </w:lvl>
    </w:lvlOverride>
    <w:lvlOverride w:ilvl="3">
      <w:lvl w:ilvl="3">
        <w:start w:val="1"/>
        <w:numFmt w:val="decimal"/>
        <w:pStyle w:val="697"/>
        <w:isLgl w:val="false"/>
        <w:suff w:val="tab"/>
        <w:lvlText w:val="%3.%4"/>
        <w:lvlJc w:val="left"/>
        <w:pPr>
          <w:ind w:left="1674" w:hanging="397"/>
          <w:tabs>
            <w:tab w:val="num" w:pos="1674" w:leader="none"/>
          </w:tabs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5"/>
    <w:next w:val="68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8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5"/>
    <w:next w:val="68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8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5"/>
    <w:next w:val="68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8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8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8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8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8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8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8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85"/>
    <w:next w:val="68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86"/>
    <w:link w:val="32"/>
    <w:uiPriority w:val="10"/>
    <w:rPr>
      <w:sz w:val="48"/>
      <w:szCs w:val="48"/>
    </w:rPr>
  </w:style>
  <w:style w:type="paragraph" w:styleId="34">
    <w:name w:val="Subtitle"/>
    <w:basedOn w:val="685"/>
    <w:next w:val="68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86"/>
    <w:link w:val="34"/>
    <w:uiPriority w:val="11"/>
    <w:rPr>
      <w:sz w:val="24"/>
      <w:szCs w:val="24"/>
    </w:rPr>
  </w:style>
  <w:style w:type="paragraph" w:styleId="36">
    <w:name w:val="Quote"/>
    <w:basedOn w:val="685"/>
    <w:next w:val="68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5"/>
    <w:next w:val="68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6"/>
    <w:link w:val="690"/>
    <w:uiPriority w:val="99"/>
  </w:style>
  <w:style w:type="character" w:styleId="43">
    <w:name w:val="Footer Char"/>
    <w:basedOn w:val="686"/>
    <w:link w:val="692"/>
    <w:uiPriority w:val="99"/>
  </w:style>
  <w:style w:type="paragraph" w:styleId="44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2"/>
    <w:uiPriority w:val="99"/>
  </w:style>
  <w:style w:type="table" w:styleId="47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8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6"/>
    <w:uiPriority w:val="99"/>
    <w:unhideWhenUsed/>
    <w:rPr>
      <w:vertAlign w:val="superscript"/>
    </w:rPr>
  </w:style>
  <w:style w:type="paragraph" w:styleId="176">
    <w:name w:val="endnote text"/>
    <w:basedOn w:val="68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6"/>
    <w:uiPriority w:val="99"/>
    <w:semiHidden/>
    <w:unhideWhenUsed/>
    <w:rPr>
      <w:vertAlign w:val="superscript"/>
    </w:rPr>
  </w:style>
  <w:style w:type="paragraph" w:styleId="179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table" w:styleId="689">
    <w:name w:val="Table Grid"/>
    <w:basedOn w:val="6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0">
    <w:name w:val="Header"/>
    <w:basedOn w:val="685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86"/>
    <w:link w:val="690"/>
    <w:uiPriority w:val="99"/>
  </w:style>
  <w:style w:type="paragraph" w:styleId="692">
    <w:name w:val="Footer"/>
    <w:basedOn w:val="685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86"/>
    <w:link w:val="692"/>
    <w:uiPriority w:val="99"/>
  </w:style>
  <w:style w:type="character" w:styleId="694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95">
    <w:name w:val="List Paragraph"/>
    <w:basedOn w:val="685"/>
    <w:uiPriority w:val="34"/>
    <w:qFormat/>
    <w:pPr>
      <w:contextualSpacing/>
      <w:ind w:left="720"/>
    </w:pPr>
  </w:style>
  <w:style w:type="paragraph" w:styleId="696" w:customStyle="1">
    <w:name w:val="Д_Глава"/>
    <w:basedOn w:val="685"/>
    <w:next w:val="685"/>
    <w:pPr>
      <w:numPr>
        <w:numId w:val="2"/>
      </w:numPr>
      <w:spacing w:before="240" w:after="120" w:line="240" w:lineRule="auto"/>
    </w:pPr>
    <w:rPr>
      <w:rFonts w:ascii="Arial" w:hAnsi="Arial" w:cs="Arial" w:eastAsia="Times New Roman"/>
      <w:b/>
      <w:sz w:val="28"/>
      <w:szCs w:val="28"/>
      <w:lang w:eastAsia="ru-RU"/>
    </w:rPr>
  </w:style>
  <w:style w:type="paragraph" w:styleId="697" w:customStyle="1">
    <w:name w:val="Д_СтПункт№"/>
    <w:basedOn w:val="685"/>
    <w:uiPriority w:val="99"/>
    <w:pPr>
      <w:numPr>
        <w:ilvl w:val="3"/>
        <w:numId w:val="2"/>
      </w:numPr>
      <w:ind w:left="1765"/>
      <w:spacing w:after="120" w:line="240" w:lineRule="auto"/>
      <w:tabs>
        <w:tab w:val="num" w:pos="1765" w:leader="none"/>
      </w:tabs>
    </w:pPr>
    <w:rPr>
      <w:rFonts w:ascii="Arial Narrow" w:hAnsi="Arial Narrow" w:cs="Times New Roman" w:eastAsia="Times New Roman"/>
      <w:sz w:val="24"/>
      <w:szCs w:val="24"/>
      <w:lang w:eastAsia="ru-RU"/>
    </w:rPr>
  </w:style>
  <w:style w:type="paragraph" w:styleId="698" w:customStyle="1">
    <w:name w:val="Д_СтПунктБ№"/>
    <w:basedOn w:val="685"/>
    <w:pPr>
      <w:numPr>
        <w:ilvl w:val="4"/>
        <w:numId w:val="2"/>
      </w:numPr>
      <w:spacing w:after="120" w:line="240" w:lineRule="auto"/>
    </w:pPr>
    <w:rPr>
      <w:rFonts w:ascii="Arial Narrow" w:hAnsi="Arial Narrow" w:cs="Times New Roman" w:eastAsia="Times New Roman"/>
      <w:sz w:val="24"/>
      <w:szCs w:val="24"/>
      <w:lang w:eastAsia="ru-RU"/>
    </w:rPr>
  </w:style>
  <w:style w:type="paragraph" w:styleId="699" w:customStyle="1">
    <w:name w:val="Д_СтПунктП№"/>
    <w:basedOn w:val="685"/>
    <w:uiPriority w:val="99"/>
    <w:pPr>
      <w:numPr>
        <w:ilvl w:val="5"/>
        <w:numId w:val="2"/>
      </w:numPr>
      <w:ind w:left="1537"/>
      <w:spacing w:after="120" w:line="240" w:lineRule="auto"/>
      <w:tabs>
        <w:tab w:val="num" w:pos="1537" w:leader="none"/>
      </w:tabs>
    </w:pPr>
    <w:rPr>
      <w:rFonts w:ascii="Arial Narrow" w:hAnsi="Arial Narrow" w:cs="Times New Roman" w:eastAsia="Times New Roman"/>
      <w:sz w:val="24"/>
      <w:szCs w:val="24"/>
      <w:lang w:eastAsia="ru-RU"/>
    </w:rPr>
  </w:style>
  <w:style w:type="paragraph" w:styleId="700" w:customStyle="1">
    <w:name w:val="Д_СтПунктПб№"/>
    <w:basedOn w:val="685"/>
    <w:pPr>
      <w:numPr>
        <w:ilvl w:val="6"/>
        <w:numId w:val="2"/>
      </w:numPr>
      <w:spacing w:after="120" w:line="240" w:lineRule="auto"/>
    </w:pPr>
    <w:rPr>
      <w:rFonts w:ascii="Arial Narrow" w:hAnsi="Arial Narrow" w:cs="Times New Roman" w:eastAsia="Times New Roman"/>
      <w:sz w:val="24"/>
      <w:szCs w:val="24"/>
      <w:lang w:eastAsia="ru-RU"/>
    </w:rPr>
  </w:style>
  <w:style w:type="numbering" w:styleId="701" w:customStyle="1">
    <w:name w:val="Д_Стиль"/>
    <w:pPr>
      <w:numPr>
        <w:numId w:val="3"/>
      </w:numPr>
    </w:p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character" w:styleId="703" w:customStyle="1">
    <w:name w:val="blk"/>
    <w:basedOn w:val="68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Наталья</dc:creator>
  <cp:keywords/>
  <dc:description/>
  <cp:lastModifiedBy>Елизавета Газдиева</cp:lastModifiedBy>
  <cp:revision>4</cp:revision>
  <dcterms:created xsi:type="dcterms:W3CDTF">2023-06-29T07:06:00Z</dcterms:created>
  <dcterms:modified xsi:type="dcterms:W3CDTF">2023-07-04T13:31:33Z</dcterms:modified>
</cp:coreProperties>
</file>